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89" w:rsidRDefault="00E36B3D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bookmarkEnd w:id="1"/>
    <w:p w:rsidR="00586589" w:rsidRDefault="00E36B3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9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715"/>
      </w:tblGrid>
      <w:tr w:rsidR="00586589">
        <w:trPr>
          <w:trHeight w:val="495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586589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______________________</w:t>
            </w:r>
          </w:p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СНИЛС: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586589" w:rsidRDefault="00E3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586589" w:rsidRDefault="005865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Исполнитель обязуется оказать услуги по </w:t>
      </w:r>
      <w:r>
        <w:rPr>
          <w:rFonts w:ascii="Times New Roman" w:eastAsia="Times New Roman" w:hAnsi="Times New Roman" w:cs="Times New Roman"/>
          <w:highlight w:val="yellow"/>
        </w:rPr>
        <w:t xml:space="preserve">_________ </w:t>
      </w:r>
      <w:r>
        <w:rPr>
          <w:rFonts w:ascii="Times New Roman" w:eastAsia="Times New Roman" w:hAnsi="Times New Roman" w:cs="Times New Roman"/>
        </w:rPr>
        <w:t xml:space="preserve">(далее - Услуги), а Заказчик обязуется принять и оплатить эти услуги.  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Конкретный перечень услуг:</w:t>
      </w:r>
    </w:p>
    <w:p w:rsidR="00586589" w:rsidRDefault="00E36B3D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yellow"/>
        </w:rPr>
        <w:t>_____________________________________;</w:t>
      </w:r>
    </w:p>
    <w:p w:rsidR="00586589" w:rsidRDefault="00E36B3D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yellow"/>
        </w:rPr>
        <w:t>_____________________________________.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Срок оказания услуг: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_________ 20__ г. по “___”  ______________ 20__ </w:t>
      </w:r>
      <w:r>
        <w:rPr>
          <w:rFonts w:ascii="Times New Roman" w:eastAsia="Times New Roman" w:hAnsi="Times New Roman" w:cs="Times New Roman"/>
        </w:rPr>
        <w:t>г.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Место оказания услуг: </w:t>
      </w:r>
      <w:r>
        <w:rPr>
          <w:rFonts w:ascii="Times New Roman" w:eastAsia="Times New Roman" w:hAnsi="Times New Roman" w:cs="Times New Roman"/>
          <w:highlight w:val="yellow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. 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Конкретные усло</w:t>
      </w:r>
      <w:r>
        <w:rPr>
          <w:rFonts w:ascii="Times New Roman" w:eastAsia="Times New Roman" w:hAnsi="Times New Roman" w:cs="Times New Roman"/>
        </w:rPr>
        <w:t xml:space="preserve">вия оказания услуг согласуются сторонами посредством </w:t>
      </w:r>
      <w:r>
        <w:rPr>
          <w:rFonts w:ascii="Times New Roman" w:eastAsia="Times New Roman" w:hAnsi="Times New Roman" w:cs="Times New Roman"/>
          <w:highlight w:val="yellow"/>
        </w:rPr>
        <w:t>электронной почты.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  <w:b/>
        </w:rPr>
        <w:t>СТОИМОСТЬ И ПОРЯДОК РАСЧЕТОВ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</w:rPr>
        <w:t xml:space="preserve">услуг:  </w:t>
      </w:r>
      <w:r>
        <w:rPr>
          <w:rFonts w:ascii="Times New Roman" w:eastAsia="Times New Roman" w:hAnsi="Times New Roman" w:cs="Times New Roman"/>
          <w:highlight w:val="yellow"/>
        </w:rPr>
        <w:t>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_____________ (__________) </w:t>
      </w:r>
      <w:r>
        <w:rPr>
          <w:rFonts w:ascii="Times New Roman" w:eastAsia="Times New Roman" w:hAnsi="Times New Roman" w:cs="Times New Roman"/>
        </w:rPr>
        <w:t xml:space="preserve">рублей в </w:t>
      </w:r>
      <w:r>
        <w:rPr>
          <w:rFonts w:ascii="Times New Roman" w:eastAsia="Times New Roman" w:hAnsi="Times New Roman" w:cs="Times New Roman"/>
          <w:highlight w:val="yellow"/>
        </w:rPr>
        <w:t>месяц</w:t>
      </w:r>
      <w:r>
        <w:rPr>
          <w:rFonts w:ascii="Times New Roman" w:eastAsia="Times New Roman" w:hAnsi="Times New Roman" w:cs="Times New Roman"/>
        </w:rPr>
        <w:t>, в том числе НДФЛ 13%.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</w:rPr>
        <w:t xml:space="preserve">оплаты:  </w:t>
      </w:r>
      <w:r>
        <w:rPr>
          <w:rFonts w:ascii="Times New Roman" w:eastAsia="Times New Roman" w:hAnsi="Times New Roman" w:cs="Times New Roman"/>
          <w:highlight w:val="yellow"/>
        </w:rPr>
        <w:t>ежемесячно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  <w:highlight w:val="yellow"/>
        </w:rPr>
        <w:t xml:space="preserve">10 (десяти) </w:t>
      </w:r>
      <w:r>
        <w:rPr>
          <w:rFonts w:ascii="Times New Roman" w:eastAsia="Times New Roman" w:hAnsi="Times New Roman" w:cs="Times New Roman"/>
        </w:rPr>
        <w:t>календарных дней с мо</w:t>
      </w:r>
      <w:r>
        <w:rPr>
          <w:rFonts w:ascii="Times New Roman" w:eastAsia="Times New Roman" w:hAnsi="Times New Roman" w:cs="Times New Roman"/>
        </w:rPr>
        <w:t>мента подписания сторонами Акта сдачи-приемки услуг.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b/>
        </w:rPr>
        <w:t>ПОРЯДОК СДАЧИ-ПРИЕМКИ УСЛУГ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Исполнитель направляет Заказчику Акт сдачи-приемки услуг в срок </w:t>
      </w:r>
      <w:r>
        <w:rPr>
          <w:rFonts w:ascii="Times New Roman" w:eastAsia="Times New Roman" w:hAnsi="Times New Roman" w:cs="Times New Roman"/>
          <w:highlight w:val="yellow"/>
        </w:rPr>
        <w:t>до 5 (пятого) числа следующего месяца</w:t>
      </w:r>
      <w:r>
        <w:rPr>
          <w:rFonts w:ascii="Times New Roman" w:eastAsia="Times New Roman" w:hAnsi="Times New Roman" w:cs="Times New Roman"/>
        </w:rPr>
        <w:t xml:space="preserve">. Заказчик обязан рассмотреть Акт и направить подписанный Акт Исполнителю в срок не позднее 10 (Десяти) рабочих дней с момента его получения от </w:t>
      </w:r>
      <w:proofErr w:type="gramStart"/>
      <w:r>
        <w:rPr>
          <w:rFonts w:ascii="Times New Roman" w:eastAsia="Times New Roman" w:hAnsi="Times New Roman" w:cs="Times New Roman"/>
        </w:rPr>
        <w:t>Исполнителя  либо</w:t>
      </w:r>
      <w:proofErr w:type="gramEnd"/>
      <w:r>
        <w:rPr>
          <w:rFonts w:ascii="Times New Roman" w:eastAsia="Times New Roman" w:hAnsi="Times New Roman" w:cs="Times New Roman"/>
        </w:rPr>
        <w:t>, при наличии замечаний к оказанным услугам, - мотивированный отказ от его подписания с указани</w:t>
      </w:r>
      <w:r>
        <w:rPr>
          <w:rFonts w:ascii="Times New Roman" w:eastAsia="Times New Roman" w:hAnsi="Times New Roman" w:cs="Times New Roman"/>
        </w:rPr>
        <w:t>ем замечаний, которые должны быть устранены.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  <w:b/>
        </w:rPr>
        <w:t>УСЛОВИЕ О КОНФИДЕНЦИАЛЬНОСТИ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Стороны признают, что вся информация, которая передается Сторонами друг другу по Договору, является конфиденциальной информацией и (или) информацией, составляющей коммерческую тайну </w:t>
      </w:r>
      <w:r>
        <w:rPr>
          <w:rFonts w:ascii="Times New Roman" w:eastAsia="Times New Roman" w:hAnsi="Times New Roman" w:cs="Times New Roman"/>
          <w:highlight w:val="white"/>
        </w:rPr>
        <w:t>Сторон.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имеет действительную и</w:t>
      </w:r>
      <w:r>
        <w:rPr>
          <w:rFonts w:ascii="Times New Roman" w:eastAsia="Times New Roman" w:hAnsi="Times New Roman" w:cs="Times New Roman"/>
          <w:highlight w:val="white"/>
        </w:rPr>
        <w:t xml:space="preserve">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Сведения, </w:t>
      </w:r>
      <w:r>
        <w:rPr>
          <w:rFonts w:ascii="Times New Roman" w:eastAsia="Times New Roman" w:hAnsi="Times New Roman" w:cs="Times New Roman"/>
          <w:highlight w:val="white"/>
        </w:rPr>
        <w:t>составляющие коммерческую тайну, передаются Сторонами друг другу с указанием об этом либо без данного указания.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обязуются не разглашать и обеспечить ограничение доступа ставшую им известной конфиденциальную информацию и (или) сведения, составляющие</w:t>
      </w:r>
      <w:r>
        <w:rPr>
          <w:rFonts w:ascii="Times New Roman" w:eastAsia="Times New Roman" w:hAnsi="Times New Roman" w:cs="Times New Roman"/>
          <w:highlight w:val="white"/>
        </w:rPr>
        <w:t xml:space="preserve"> коммерческую тайну Сторон, как в течение срока действия Договора, так и в течение 5 (пяти) лет с даты окончания действия Договора.</w:t>
      </w:r>
    </w:p>
    <w:p w:rsidR="00586589" w:rsidRDefault="00E36B3D">
      <w:pPr>
        <w:pStyle w:val="1"/>
        <w:numPr>
          <w:ilvl w:val="0"/>
          <w:numId w:val="2"/>
        </w:numPr>
        <w:spacing w:before="0" w:line="240" w:lineRule="auto"/>
        <w:ind w:left="0" w:hanging="141"/>
        <w:rPr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Сообщения по Договору должны совершаться в письменной форме, подписываться уполномоченными предс</w:t>
      </w:r>
      <w:r>
        <w:rPr>
          <w:rFonts w:ascii="Times New Roman" w:eastAsia="Times New Roman" w:hAnsi="Times New Roman" w:cs="Times New Roman"/>
          <w:highlight w:val="white"/>
        </w:rPr>
        <w:t xml:space="preserve">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спецификации, приложения, акты сверок, счета и иные), которые имеют отношение к </w:t>
      </w:r>
      <w:r>
        <w:rPr>
          <w:rFonts w:ascii="Times New Roman" w:eastAsia="Times New Roman" w:hAnsi="Times New Roman" w:cs="Times New Roman"/>
          <w:highlight w:val="white"/>
        </w:rPr>
        <w:t>Договору, а также 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 реквизитах Договора.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Если иное прямо не предусмотрено Приложением, скан-ко</w:t>
      </w:r>
      <w:r>
        <w:rPr>
          <w:rFonts w:ascii="Times New Roman" w:eastAsia="Times New Roman" w:hAnsi="Times New Roman" w:cs="Times New Roman"/>
          <w:highlight w:val="white"/>
        </w:rPr>
        <w:t xml:space="preserve">пии документов будут иметь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силу  оригинала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до их замены на оригинал. 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За просрочку оказания услуг по настоящему договору Исполнитель обязан уплатить Заказчику пеню в размере 0,1 % от суммы вознаграждения по настоящему договору, за ка</w:t>
      </w:r>
      <w:r>
        <w:rPr>
          <w:rFonts w:ascii="Times New Roman" w:eastAsia="Times New Roman" w:hAnsi="Times New Roman" w:cs="Times New Roman"/>
        </w:rPr>
        <w:t>ждый день просрочки. За просрочку оплаты оказанных услуг Заказчик обязан уплатить Исполнителю пеню в размере 0,1 % от суммы вознаграждения по настоящему договору, за каждый день просрочки.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просрочки предоставления акта сдачи-приемки услуг Исполнитель обязан уплатить Заказчику пеню в размере 0,1 % от суммы вознаграждения по акту сдачи-приемки услуг, за каждый день просрочки. 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Исполнитель самостоятельно несет ответственность за создан</w:t>
      </w:r>
      <w:r>
        <w:rPr>
          <w:rFonts w:ascii="Times New Roman" w:eastAsia="Times New Roman" w:hAnsi="Times New Roman" w:cs="Times New Roman"/>
        </w:rPr>
        <w:t>ие безопасных условий для выполнения работ, соблюдение существующих норм и правил при выполнении работ.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подтверждает, что в течение 2 (двух) лет, предшествующих заключению Договора, не являлся государственным и (или) муниципальным служащим в до</w:t>
      </w:r>
      <w:r>
        <w:rPr>
          <w:rFonts w:ascii="Times New Roman" w:eastAsia="Times New Roman" w:hAnsi="Times New Roman" w:cs="Times New Roman"/>
        </w:rPr>
        <w:t xml:space="preserve">лжности, входящей в перечень, </w:t>
      </w:r>
      <w:proofErr w:type="gramStart"/>
      <w:r>
        <w:rPr>
          <w:rFonts w:ascii="Times New Roman" w:eastAsia="Times New Roman" w:hAnsi="Times New Roman" w:cs="Times New Roman"/>
        </w:rPr>
        <w:t>предусмотренный  Указом</w:t>
      </w:r>
      <w:proofErr w:type="gramEnd"/>
      <w:r>
        <w:rPr>
          <w:rFonts w:ascii="Times New Roman" w:eastAsia="Times New Roman" w:hAnsi="Times New Roman" w:cs="Times New Roman"/>
        </w:rPr>
        <w:t xml:space="preserve"> Президента РФ от 21.07.2010 № 925 “О мерах по реализации отдельных положений Федерального закона “О противодействии коррупции”. В случае, если Исполнитель не сообщит об ином Заказчику, штрафные санкции,</w:t>
      </w:r>
      <w:r>
        <w:rPr>
          <w:rFonts w:ascii="Times New Roman" w:eastAsia="Times New Roman" w:hAnsi="Times New Roman" w:cs="Times New Roman"/>
        </w:rPr>
        <w:t xml:space="preserve"> возникшие в связи с таким </w:t>
      </w:r>
      <w:proofErr w:type="spellStart"/>
      <w:r>
        <w:rPr>
          <w:rFonts w:ascii="Times New Roman" w:eastAsia="Times New Roman" w:hAnsi="Times New Roman" w:cs="Times New Roman"/>
        </w:rPr>
        <w:t>неуведомлением</w:t>
      </w:r>
      <w:proofErr w:type="spellEnd"/>
      <w:r>
        <w:rPr>
          <w:rFonts w:ascii="Times New Roman" w:eastAsia="Times New Roman" w:hAnsi="Times New Roman" w:cs="Times New Roman"/>
        </w:rPr>
        <w:t>, несет Исполнитель.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Возмещение убытков, уплата штрафных санкций производится в течение 5 (пяти) рабочих дней с момента предъявления соответствующего требования.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 неисполне</w:t>
      </w:r>
      <w:r>
        <w:rPr>
          <w:rFonts w:ascii="Times New Roman" w:eastAsia="Times New Roman" w:hAnsi="Times New Roman" w:cs="Times New Roman"/>
        </w:rPr>
        <w:t>ние или ненадлежащее исполнение обязательств по Договору при возникновении обстоятельств непреодолимой силы, т.е. чрезвычайных и непредсказуемых при данных условиях обстоятельств, к которым относятся, в частности, стихийные бедствия природного характера (з</w:t>
      </w:r>
      <w:r>
        <w:rPr>
          <w:rFonts w:ascii="Times New Roman" w:eastAsia="Times New Roman" w:hAnsi="Times New Roman" w:cs="Times New Roman"/>
        </w:rPr>
        <w:t>емлетрясения, наводнения, пожары, снежные заносы и т.д.),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5 (пяти) раб</w:t>
      </w:r>
      <w:r>
        <w:rPr>
          <w:rFonts w:ascii="Times New Roman" w:eastAsia="Times New Roman" w:hAnsi="Times New Roman" w:cs="Times New Roman"/>
        </w:rPr>
        <w:t xml:space="preserve">очих дней уведомить об этом другую Сторону. Если обстоятельства непреодолимой силы продолжают </w:t>
      </w:r>
      <w:r>
        <w:rPr>
          <w:rFonts w:ascii="Times New Roman" w:eastAsia="Times New Roman" w:hAnsi="Times New Roman" w:cs="Times New Roman"/>
        </w:rPr>
        <w:lastRenderedPageBreak/>
        <w:t>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  <w:b/>
        </w:rPr>
        <w:t>РАЗРЕШЕНИЕ СПОРОВ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</w:rPr>
        <w:t>Если Сторо</w:t>
      </w:r>
      <w:r>
        <w:rPr>
          <w:rFonts w:ascii="Times New Roman" w:eastAsia="Times New Roman" w:hAnsi="Times New Roman" w:cs="Times New Roman"/>
        </w:rPr>
        <w:t xml:space="preserve">ны не пришли к соглашению в процессе переговоров, возникшие споры передаются на окончательное разрешение в соответствующий суд по месту нахождения Заказчика с обязательным соблюдением претензионного порядка досудебного </w:t>
      </w:r>
      <w:proofErr w:type="gramStart"/>
      <w:r>
        <w:rPr>
          <w:rFonts w:ascii="Times New Roman" w:eastAsia="Times New Roman" w:hAnsi="Times New Roman" w:cs="Times New Roman"/>
        </w:rPr>
        <w:t>урегулирования  споров</w:t>
      </w:r>
      <w:proofErr w:type="gramEnd"/>
      <w:r>
        <w:rPr>
          <w:rFonts w:ascii="Times New Roman" w:eastAsia="Times New Roman" w:hAnsi="Times New Roman" w:cs="Times New Roman"/>
        </w:rPr>
        <w:t>. Срок рассмотр</w:t>
      </w:r>
      <w:r>
        <w:rPr>
          <w:rFonts w:ascii="Times New Roman" w:eastAsia="Times New Roman" w:hAnsi="Times New Roman" w:cs="Times New Roman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</w:rPr>
        <w:t>и  ответа</w:t>
      </w:r>
      <w:proofErr w:type="gramEnd"/>
      <w:r>
        <w:rPr>
          <w:rFonts w:ascii="Times New Roman" w:eastAsia="Times New Roman" w:hAnsi="Times New Roman" w:cs="Times New Roman"/>
        </w:rPr>
        <w:t xml:space="preserve"> на претензию – 10 (десять) календарных дней с момента ее получения.</w:t>
      </w:r>
    </w:p>
    <w:p w:rsidR="00586589" w:rsidRDefault="00E36B3D">
      <w:pPr>
        <w:pStyle w:val="1"/>
        <w:numPr>
          <w:ilvl w:val="0"/>
          <w:numId w:val="2"/>
        </w:numPr>
        <w:spacing w:before="0" w:line="240" w:lineRule="auto"/>
        <w:ind w:left="0" w:hanging="141"/>
        <w:rPr>
          <w:sz w:val="22"/>
          <w:szCs w:val="22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И ОСНОВАНИЯ РАСТОРЖЕНИЯ ДОГОВОРА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Сторонами действует в течение одного календарного года.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Договор пролонгируется на каждый последующий календарный год, если не будет прекращен письменным уведомлением одной из Сторон, направленным другой Стороне не менее чем за 1 (один) месяц до даты окончания его действия.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Заказчик</w:t>
      </w:r>
      <w:r>
        <w:rPr>
          <w:rFonts w:ascii="Times New Roman" w:eastAsia="Times New Roman" w:hAnsi="Times New Roman" w:cs="Times New Roman"/>
        </w:rPr>
        <w:t>ом в одностороннем порядке, с предварительным письменным уведомлением Исполнителя за 5 (пять) рабочих дней до даты расторжения Договора.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В случае неоказания или некачественного оказания Исполнителем </w:t>
      </w:r>
      <w:proofErr w:type="gramStart"/>
      <w:r>
        <w:rPr>
          <w:rFonts w:ascii="Times New Roman" w:eastAsia="Times New Roman" w:hAnsi="Times New Roman" w:cs="Times New Roman"/>
        </w:rPr>
        <w:t>услуг,  Заказчик</w:t>
      </w:r>
      <w:proofErr w:type="gramEnd"/>
      <w:r>
        <w:rPr>
          <w:rFonts w:ascii="Times New Roman" w:eastAsia="Times New Roman" w:hAnsi="Times New Roman" w:cs="Times New Roman"/>
        </w:rPr>
        <w:t xml:space="preserve"> сообщает ему об этом в письменной форме </w:t>
      </w:r>
      <w:r>
        <w:rPr>
          <w:rFonts w:ascii="Times New Roman" w:eastAsia="Times New Roman" w:hAnsi="Times New Roman" w:cs="Times New Roman"/>
        </w:rPr>
        <w:t>для принятия необходимых мер. Если в течение 5 (пяти) дней с момента получения информации о выявленных Заказчиком нарушениях Исполнителем не будут приняты меры по их устранению, Заказчик вправе отказаться от исполнения Договора.</w:t>
      </w:r>
    </w:p>
    <w:p w:rsidR="00586589" w:rsidRDefault="00E36B3D">
      <w:pPr>
        <w:numPr>
          <w:ilvl w:val="0"/>
          <w:numId w:val="2"/>
        </w:numPr>
        <w:spacing w:after="120" w:line="240" w:lineRule="auto"/>
        <w:ind w:left="0" w:hanging="141"/>
      </w:pPr>
      <w:r>
        <w:rPr>
          <w:rFonts w:ascii="Times New Roman" w:eastAsia="Times New Roman" w:hAnsi="Times New Roman" w:cs="Times New Roman"/>
          <w:b/>
        </w:rPr>
        <w:t>ИСКЛЮЧИТЕЛЬНЫЕ ПРАВА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Исполн</w:t>
      </w:r>
      <w:r>
        <w:rPr>
          <w:rFonts w:ascii="Times New Roman" w:eastAsia="Times New Roman" w:hAnsi="Times New Roman" w:cs="Times New Roman"/>
        </w:rPr>
        <w:t>итель передает (отчуждает) Заказчику без территориальных ограничений исключительные права на результаты оказания услуг по Договору.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Права </w:t>
      </w:r>
      <w:proofErr w:type="gramStart"/>
      <w:r>
        <w:rPr>
          <w:rFonts w:ascii="Times New Roman" w:eastAsia="Times New Roman" w:hAnsi="Times New Roman" w:cs="Times New Roman"/>
        </w:rPr>
        <w:t>на  результаты</w:t>
      </w:r>
      <w:proofErr w:type="gramEnd"/>
      <w:r>
        <w:rPr>
          <w:rFonts w:ascii="Times New Roman" w:eastAsia="Times New Roman" w:hAnsi="Times New Roman" w:cs="Times New Roman"/>
        </w:rPr>
        <w:t xml:space="preserve"> оказания услуг по Договору возникают у Заказчика с момента подписания Сторонами Акта сдачи-приёмки услу</w:t>
      </w:r>
      <w:r>
        <w:rPr>
          <w:rFonts w:ascii="Times New Roman" w:eastAsia="Times New Roman" w:hAnsi="Times New Roman" w:cs="Times New Roman"/>
        </w:rPr>
        <w:t>г.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Исполнитель гарантирует, что при оказании услуг им не будут нарушены авторские, патентные и любые иные права третьих лиц. Исполнитель гарантирует, что результаты оказания услуг будут созданы им лично, своим творческим трудом.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Стоимость передачи исключит</w:t>
      </w:r>
      <w:r>
        <w:rPr>
          <w:rFonts w:ascii="Times New Roman" w:eastAsia="Times New Roman" w:hAnsi="Times New Roman" w:cs="Times New Roman"/>
        </w:rPr>
        <w:t>ельных прав на результаты оказания услуг по Договору включена в стоимость услуг по Договору.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86589" w:rsidRDefault="00E36B3D">
      <w:pPr>
        <w:pStyle w:val="1"/>
        <w:numPr>
          <w:ilvl w:val="0"/>
          <w:numId w:val="2"/>
        </w:numPr>
        <w:spacing w:before="0" w:line="240" w:lineRule="auto"/>
        <w:ind w:left="0" w:hanging="141"/>
        <w:rPr>
          <w:b/>
          <w:sz w:val="22"/>
          <w:szCs w:val="22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К отношениям Сторон по тем вопросам, которые не урегулированы или не полностью урегулированы Договором, применяется законодательство Российской Фед</w:t>
      </w:r>
      <w:r>
        <w:rPr>
          <w:rFonts w:ascii="Times New Roman" w:eastAsia="Times New Roman" w:hAnsi="Times New Roman" w:cs="Times New Roman"/>
        </w:rPr>
        <w:t>ерации.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В случае изменения своих адреса места нахождения, номеров телефонов, банковских реквизитов, почтового адреса и/или адреса электронной почты, Сторона Договора обязана в пятидневный срок уведомить об этом другую Сторону. Все риски, связанные с таким </w:t>
      </w:r>
      <w:r>
        <w:rPr>
          <w:rFonts w:ascii="Times New Roman" w:eastAsia="Times New Roman" w:hAnsi="Times New Roman" w:cs="Times New Roman"/>
        </w:rPr>
        <w:t xml:space="preserve">не уведомлением, лежат на </w:t>
      </w:r>
      <w:proofErr w:type="spellStart"/>
      <w:r>
        <w:rPr>
          <w:rFonts w:ascii="Times New Roman" w:eastAsia="Times New Roman" w:hAnsi="Times New Roman" w:cs="Times New Roman"/>
        </w:rPr>
        <w:t>неуведомившей</w:t>
      </w:r>
      <w:proofErr w:type="spellEnd"/>
      <w:r>
        <w:rPr>
          <w:rFonts w:ascii="Times New Roman" w:eastAsia="Times New Roman" w:hAnsi="Times New Roman" w:cs="Times New Roman"/>
        </w:rPr>
        <w:t xml:space="preserve"> Стороне.</w:t>
      </w:r>
    </w:p>
    <w:p w:rsidR="00586589" w:rsidRDefault="00E36B3D">
      <w:pPr>
        <w:numPr>
          <w:ilvl w:val="1"/>
          <w:numId w:val="2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(четырёх)</w:t>
      </w:r>
      <w:r>
        <w:rPr>
          <w:rFonts w:ascii="Times New Roman" w:eastAsia="Times New Roman" w:hAnsi="Times New Roman" w:cs="Times New Roman"/>
        </w:rPr>
        <w:t xml:space="preserve"> листах, включая Приложение № 1 к Договору. Подписи сторон расположены в преамбуле Договора.</w:t>
      </w:r>
    </w:p>
    <w:p w:rsidR="00586589" w:rsidRDefault="00E36B3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586589" w:rsidRDefault="00E36B3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:rsidR="00586589" w:rsidRDefault="00E36B3D">
      <w:pPr>
        <w:pStyle w:val="a3"/>
        <w:spacing w:after="12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 от “___” ___________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:rsidR="00586589" w:rsidRDefault="00586589"/>
    <w:p w:rsidR="00586589" w:rsidRDefault="00E36B3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СДАЧИ-ПРИЕМКИ УСЛУГ</w:t>
      </w:r>
    </w:p>
    <w:p w:rsidR="00586589" w:rsidRDefault="00E36B3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586589" w:rsidRDefault="005865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86589" w:rsidRDefault="00E36B3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АКТ № </w:t>
      </w:r>
      <w:r>
        <w:rPr>
          <w:rFonts w:ascii="Times New Roman" w:eastAsia="Times New Roman" w:hAnsi="Times New Roman" w:cs="Times New Roman"/>
          <w:b/>
          <w:highlight w:val="yellow"/>
        </w:rPr>
        <w:t>___</w:t>
      </w:r>
      <w:r>
        <w:rPr>
          <w:rFonts w:ascii="Times New Roman" w:eastAsia="Times New Roman" w:hAnsi="Times New Roman" w:cs="Times New Roman"/>
          <w:b/>
        </w:rPr>
        <w:t xml:space="preserve"> сдачи-приёмки оказанных услуг</w:t>
      </w:r>
    </w:p>
    <w:p w:rsidR="00586589" w:rsidRDefault="00E36B3D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 от “___” ___________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:rsidR="00586589" w:rsidRDefault="00E36B3D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“___” ______ 20__</w:t>
      </w:r>
      <w:r>
        <w:rPr>
          <w:rFonts w:ascii="Times New Roman" w:eastAsia="Times New Roman" w:hAnsi="Times New Roman" w:cs="Times New Roman"/>
        </w:rPr>
        <w:t xml:space="preserve"> г. </w:t>
      </w:r>
    </w:p>
    <w:tbl>
      <w:tblPr>
        <w:tblStyle w:val="aa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755"/>
      </w:tblGrid>
      <w:tr w:rsidR="00586589">
        <w:trPr>
          <w:trHeight w:val="495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586589" w:rsidRDefault="00586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6589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586589" w:rsidRDefault="0058658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586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6589" w:rsidRDefault="00E36B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:rsidR="00586589" w:rsidRDefault="0058658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586589" w:rsidRDefault="00E36B3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Исполнителем за период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>_________ 20__ г. по “___”  ____________ 20__</w:t>
      </w:r>
      <w:r>
        <w:rPr>
          <w:rFonts w:ascii="Times New Roman" w:eastAsia="Times New Roman" w:hAnsi="Times New Roman" w:cs="Times New Roman"/>
        </w:rPr>
        <w:t xml:space="preserve"> г. оказаны услуги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tbl>
      <w:tblPr>
        <w:tblStyle w:val="ab"/>
        <w:tblW w:w="97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520"/>
        <w:gridCol w:w="4935"/>
        <w:gridCol w:w="1770"/>
      </w:tblGrid>
      <w:tr w:rsidR="00586589">
        <w:trPr>
          <w:trHeight w:val="52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 характеристики услуги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E3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услуги, руб.</w:t>
            </w:r>
          </w:p>
        </w:tc>
      </w:tr>
      <w:tr w:rsidR="0058658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589" w:rsidRDefault="0058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6589" w:rsidRDefault="00586589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586589" w:rsidRDefault="00E36B3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стоимость услуг составляет </w:t>
      </w:r>
      <w:r>
        <w:rPr>
          <w:rFonts w:ascii="Times New Roman" w:eastAsia="Times New Roman" w:hAnsi="Times New Roman" w:cs="Times New Roman"/>
          <w:highlight w:val="yellow"/>
        </w:rPr>
        <w:t xml:space="preserve">_____________ (__________) </w:t>
      </w:r>
      <w:r>
        <w:rPr>
          <w:rFonts w:ascii="Times New Roman" w:eastAsia="Times New Roman" w:hAnsi="Times New Roman" w:cs="Times New Roman"/>
        </w:rPr>
        <w:t>рублей 00 копеек, в том числе НДФЛ 13%.</w:t>
      </w:r>
    </w:p>
    <w:p w:rsidR="00586589" w:rsidRDefault="00E36B3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Обязательства Исполнителя выполнены в полном объеме и надлежащего качества, Стороны не имеют претензий друг к другу.</w:t>
      </w:r>
    </w:p>
    <w:p w:rsidR="00586589" w:rsidRDefault="00E36B3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Акт составлен на </w:t>
      </w:r>
      <w:r>
        <w:rPr>
          <w:rFonts w:ascii="Times New Roman" w:eastAsia="Times New Roman" w:hAnsi="Times New Roman" w:cs="Times New Roman"/>
          <w:highlight w:val="yellow"/>
        </w:rPr>
        <w:t xml:space="preserve">1 (одном) </w:t>
      </w:r>
      <w:r>
        <w:rPr>
          <w:rFonts w:ascii="Times New Roman" w:eastAsia="Times New Roman" w:hAnsi="Times New Roman" w:cs="Times New Roman"/>
        </w:rPr>
        <w:t>листе. Подпи</w:t>
      </w:r>
      <w:r>
        <w:rPr>
          <w:rFonts w:ascii="Times New Roman" w:eastAsia="Times New Roman" w:hAnsi="Times New Roman" w:cs="Times New Roman"/>
        </w:rPr>
        <w:t xml:space="preserve">си сторон расположены в преамбуле Акта. </w:t>
      </w:r>
    </w:p>
    <w:p w:rsidR="00586589" w:rsidRDefault="00E36B3D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586589" w:rsidRDefault="00586589">
      <w:pPr>
        <w:spacing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586589" w:rsidRDefault="00E36B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согласована путем проставления подписей в преамбуле Договора. </w:t>
      </w:r>
    </w:p>
    <w:p w:rsidR="00586589" w:rsidRDefault="00E36B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 Приложения № 1 не требуется. </w:t>
      </w:r>
    </w:p>
    <w:p w:rsidR="00586589" w:rsidRDefault="00586589">
      <w:pPr>
        <w:spacing w:after="200" w:line="240" w:lineRule="auto"/>
        <w:ind w:hanging="141"/>
        <w:jc w:val="both"/>
        <w:rPr>
          <w:rFonts w:ascii="Times New Roman" w:eastAsia="Times New Roman" w:hAnsi="Times New Roman" w:cs="Times New Roman"/>
        </w:rPr>
      </w:pPr>
    </w:p>
    <w:p w:rsidR="00586589" w:rsidRDefault="00586589">
      <w:pPr>
        <w:ind w:hanging="141"/>
        <w:rPr>
          <w:rFonts w:ascii="Times New Roman" w:eastAsia="Times New Roman" w:hAnsi="Times New Roman" w:cs="Times New Roman"/>
        </w:rPr>
      </w:pPr>
    </w:p>
    <w:sectPr w:rsidR="00586589">
      <w:headerReference w:type="default" r:id="rId8"/>
      <w:footerReference w:type="default" r:id="rId9"/>
      <w:pgSz w:w="11909" w:h="16834"/>
      <w:pgMar w:top="1133" w:right="850" w:bottom="1106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3D" w:rsidRDefault="00E36B3D">
      <w:pPr>
        <w:spacing w:line="240" w:lineRule="auto"/>
      </w:pPr>
      <w:r>
        <w:separator/>
      </w:r>
    </w:p>
  </w:endnote>
  <w:endnote w:type="continuationSeparator" w:id="0">
    <w:p w:rsidR="00E36B3D" w:rsidRDefault="00E3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89" w:rsidRDefault="00E36B3D">
    <w:pPr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10665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06658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3D" w:rsidRDefault="00E36B3D">
      <w:pPr>
        <w:spacing w:line="240" w:lineRule="auto"/>
      </w:pPr>
      <w:r>
        <w:separator/>
      </w:r>
    </w:p>
  </w:footnote>
  <w:footnote w:type="continuationSeparator" w:id="0">
    <w:p w:rsidR="00E36B3D" w:rsidRDefault="00E36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58" w:rsidRDefault="00106658" w:rsidP="00106658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5D45F81D" wp14:editId="604C47F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658" w:rsidRPr="00106658" w:rsidRDefault="00106658" w:rsidP="00106658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f0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f0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f0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E5DE0"/>
    <w:multiLevelType w:val="multilevel"/>
    <w:tmpl w:val="637CF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5742C8"/>
    <w:multiLevelType w:val="multilevel"/>
    <w:tmpl w:val="513AAC3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9"/>
    <w:rsid w:val="00106658"/>
    <w:rsid w:val="00586589"/>
    <w:rsid w:val="00E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4413-9C7D-4E91-9D3B-EB4F02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10665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6658"/>
  </w:style>
  <w:style w:type="paragraph" w:styleId="ae">
    <w:name w:val="footer"/>
    <w:basedOn w:val="a"/>
    <w:link w:val="af"/>
    <w:uiPriority w:val="99"/>
    <w:unhideWhenUsed/>
    <w:rsid w:val="0010665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6658"/>
  </w:style>
  <w:style w:type="character" w:customStyle="1" w:styleId="a4">
    <w:name w:val="Название Знак"/>
    <w:basedOn w:val="a0"/>
    <w:link w:val="a3"/>
    <w:rsid w:val="00106658"/>
    <w:rPr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10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gpx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gC5LbDbx5xSsYDIr+/zqhl9Gg==">AMUW2mV2zBJwvQxHZ51G/c6fmdiTYh1bmXDDgaabDA2n2EJzG0t1Lv5Z8UIz6xaFDMfD11Fjl8CXM38jduPuOYaX+xeZfYz5cyd8sMF5dkupZGXKVwYT9G2jkNeKi5cO89IIh2oj7xFQ7pCPDObjiT+Ab1hJ/OIPuW2xp4SaCxKVBc5uwgbZ8oxUH8FvPSAT0BSF4FYn9lQA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2022-09-16T11:46:00Z</dcterms:created>
  <dcterms:modified xsi:type="dcterms:W3CDTF">2022-09-16T11:46:00Z</dcterms:modified>
</cp:coreProperties>
</file>