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6D3" w:rsidRDefault="007276D3" w:rsidP="007276D3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bookmarkStart w:id="0" w:name="_qmj0hoy6vkiz" w:colFirst="0" w:colLast="0"/>
      <w:bookmarkEnd w:id="0"/>
      <w:r>
        <w:rPr>
          <w:rFonts w:ascii="Futura PT" w:eastAsia="Times New Roman" w:hAnsi="Futura PT" w:cs="Times New Roman"/>
          <w:b/>
          <w:noProof/>
          <w:sz w:val="36"/>
          <w:szCs w:val="36"/>
          <w:lang w:val="ru-RU"/>
        </w:rPr>
        <w:drawing>
          <wp:inline distT="0" distB="0" distL="0" distR="0">
            <wp:extent cx="2381250" cy="361950"/>
            <wp:effectExtent l="0" t="0" r="0" b="0"/>
            <wp:docPr id="1" name="Рисунок 1" descr="кнопка_logo_RU_RGB_25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нопка_logo_RU_RGB_250px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6D3" w:rsidRDefault="007276D3" w:rsidP="007276D3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 xml:space="preserve">Не хотите заполнять договор самостоятельно? </w:t>
      </w:r>
    </w:p>
    <w:p w:rsidR="007276D3" w:rsidRDefault="007276D3" w:rsidP="007276D3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r>
        <w:rPr>
          <w:rFonts w:ascii="Futura PT" w:eastAsia="Times New Roman" w:hAnsi="Futura PT" w:cs="Times New Roman"/>
          <w:b/>
          <w:sz w:val="36"/>
          <w:szCs w:val="36"/>
        </w:rPr>
        <w:t>Поручите эту заботу Кнопке</w:t>
      </w:r>
    </w:p>
    <w:p w:rsidR="007276D3" w:rsidRDefault="007276D3" w:rsidP="007276D3">
      <w:pPr>
        <w:pStyle w:val="a3"/>
        <w:spacing w:after="200" w:line="240" w:lineRule="auto"/>
        <w:jc w:val="both"/>
        <w:rPr>
          <w:rFonts w:ascii="Futura PT" w:eastAsia="Times New Roman" w:hAnsi="Futura PT" w:cs="Times New Roman"/>
          <w:b/>
          <w:sz w:val="36"/>
          <w:szCs w:val="36"/>
        </w:rPr>
      </w:pPr>
      <w:hyperlink r:id="rId8" w:history="1">
        <w:r>
          <w:rPr>
            <w:rStyle w:val="aa"/>
            <w:rFonts w:ascii="Futura PT" w:eastAsia="Times New Roman" w:hAnsi="Futura PT" w:cs="Times New Roman"/>
            <w:b/>
            <w:sz w:val="36"/>
            <w:szCs w:val="36"/>
            <w:lang w:val="en-US"/>
          </w:rPr>
          <w:t>knopka</w:t>
        </w:r>
        <w:r>
          <w:rPr>
            <w:rStyle w:val="aa"/>
            <w:rFonts w:ascii="Futura PT" w:eastAsia="Times New Roman" w:hAnsi="Futura PT" w:cs="Times New Roman"/>
            <w:b/>
            <w:sz w:val="36"/>
            <w:szCs w:val="36"/>
          </w:rPr>
          <w:t>.</w:t>
        </w:r>
        <w:r>
          <w:rPr>
            <w:rStyle w:val="aa"/>
            <w:rFonts w:ascii="Futura PT" w:eastAsia="Times New Roman" w:hAnsi="Futura PT" w:cs="Times New Roman"/>
            <w:b/>
            <w:sz w:val="36"/>
            <w:szCs w:val="36"/>
            <w:lang w:val="en-US"/>
          </w:rPr>
          <w:t>com</w:t>
        </w:r>
      </w:hyperlink>
      <w:bookmarkStart w:id="1" w:name="_GoBack"/>
      <w:bookmarkEnd w:id="1"/>
    </w:p>
    <w:p w:rsidR="007276D3" w:rsidRDefault="007276D3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7276D3" w:rsidRDefault="007276D3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C538AE" w:rsidRDefault="00075DA5">
      <w:pPr>
        <w:pStyle w:val="a3"/>
        <w:spacing w:after="120" w:line="240" w:lineRule="auto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ЛИЦЕНЗИОННЫЙ ДОГОВОР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>____</w:t>
      </w:r>
    </w:p>
    <w:p w:rsidR="00C538AE" w:rsidRDefault="00075D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>“__” ______ 20__</w:t>
      </w:r>
      <w:r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Style w:val="a6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C538AE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Лицензиар: 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C538AE" w:rsidRDefault="00C538AE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C538A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Лицензиат:  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C538AE" w:rsidRDefault="00C538AE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C538AE" w:rsidRDefault="00C538AE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-30" w:hanging="111"/>
        <w:jc w:val="both"/>
        <w:rPr>
          <w:sz w:val="22"/>
          <w:szCs w:val="22"/>
        </w:rPr>
      </w:pPr>
      <w:bookmarkStart w:id="2" w:name="_iwj801x2k6w8" w:colFirst="0" w:colLast="0"/>
      <w:bookmarkEnd w:id="2"/>
      <w:r>
        <w:rPr>
          <w:rFonts w:ascii="Times New Roman" w:eastAsia="Times New Roman" w:hAnsi="Times New Roman" w:cs="Times New Roman"/>
          <w:b/>
          <w:sz w:val="22"/>
          <w:szCs w:val="22"/>
        </w:rPr>
        <w:t>ПРЕДМЕТ ДОГОВОРА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</w:rPr>
        <w:t xml:space="preserve">Лицензиар обязуется предоставить Лицензиату за вознаграждение в порядке и на условиях, изложенных в Договоре, право использования Товарного знака </w:t>
      </w:r>
      <w:r>
        <w:rPr>
          <w:rFonts w:ascii="Times New Roman" w:eastAsia="Times New Roman" w:hAnsi="Times New Roman" w:cs="Times New Roman"/>
          <w:highlight w:val="yellow"/>
        </w:rPr>
        <w:t>“_________”</w:t>
      </w:r>
      <w:r>
        <w:rPr>
          <w:rFonts w:ascii="Times New Roman" w:eastAsia="Times New Roman" w:hAnsi="Times New Roman" w:cs="Times New Roman"/>
        </w:rPr>
        <w:t xml:space="preserve"> (далее - ТЗ), зарегистрированного в Федеральной службе по интеллектуальной собственности: свидетел</w:t>
      </w:r>
      <w:r>
        <w:rPr>
          <w:rFonts w:ascii="Times New Roman" w:eastAsia="Times New Roman" w:hAnsi="Times New Roman" w:cs="Times New Roman"/>
        </w:rPr>
        <w:t xml:space="preserve">ьство о регистрации </w:t>
      </w:r>
      <w:r>
        <w:rPr>
          <w:rFonts w:ascii="Times New Roman" w:eastAsia="Times New Roman" w:hAnsi="Times New Roman" w:cs="Times New Roman"/>
          <w:highlight w:val="yellow"/>
        </w:rPr>
        <w:t>№ _______ от «___» ______ 20__ г.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</w:rPr>
        <w:t>Описание и характеристики ТЗ содержатся в Приложении № 1 к Договору.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11"/>
        <w:jc w:val="both"/>
      </w:pPr>
      <w:r>
        <w:rPr>
          <w:rFonts w:ascii="Times New Roman" w:eastAsia="Times New Roman" w:hAnsi="Times New Roman" w:cs="Times New Roman"/>
        </w:rPr>
        <w:t>Лицензия, предоставляемая Лицензиату по Договору, является неисключительной.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Территория действия лицензии – </w:t>
      </w:r>
      <w:r>
        <w:rPr>
          <w:rFonts w:ascii="Times New Roman" w:eastAsia="Times New Roman" w:hAnsi="Times New Roman" w:cs="Times New Roman"/>
          <w:highlight w:val="yellow"/>
        </w:rPr>
        <w:t>территория Российской Фед</w:t>
      </w:r>
      <w:r>
        <w:rPr>
          <w:rFonts w:ascii="Times New Roman" w:eastAsia="Times New Roman" w:hAnsi="Times New Roman" w:cs="Times New Roman"/>
          <w:highlight w:val="yellow"/>
        </w:rPr>
        <w:t>ерации.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Срок предоставления права использования ТЗ составляет </w:t>
      </w:r>
      <w:r>
        <w:rPr>
          <w:rFonts w:ascii="Times New Roman" w:eastAsia="Times New Roman" w:hAnsi="Times New Roman" w:cs="Times New Roman"/>
          <w:highlight w:val="yellow"/>
        </w:rPr>
        <w:t>_________</w:t>
      </w:r>
      <w:r>
        <w:rPr>
          <w:rFonts w:ascii="Times New Roman" w:eastAsia="Times New Roman" w:hAnsi="Times New Roman" w:cs="Times New Roman"/>
        </w:rPr>
        <w:t xml:space="preserve"> с даты подписания Сторонами Акта приема-передачи.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Передача экземпляра ТЗ для его дальнейшего использования Лицензиатом производится следующим образом: не позднее </w:t>
      </w:r>
      <w:r>
        <w:rPr>
          <w:rFonts w:ascii="Times New Roman" w:eastAsia="Times New Roman" w:hAnsi="Times New Roman" w:cs="Times New Roman"/>
          <w:highlight w:val="yellow"/>
        </w:rPr>
        <w:t>____ (_________)</w:t>
      </w:r>
      <w:r>
        <w:rPr>
          <w:rFonts w:ascii="Times New Roman" w:eastAsia="Times New Roman" w:hAnsi="Times New Roman" w:cs="Times New Roman"/>
        </w:rPr>
        <w:t xml:space="preserve"> дней</w:t>
      </w:r>
      <w:r>
        <w:rPr>
          <w:rFonts w:ascii="Times New Roman" w:eastAsia="Times New Roman" w:hAnsi="Times New Roman" w:cs="Times New Roman"/>
        </w:rPr>
        <w:t xml:space="preserve"> с момента заключения Договора Лицензиар предоставляет Лицензиату 1 (один) экземпляр ТЗ </w:t>
      </w:r>
      <w:r>
        <w:rPr>
          <w:rFonts w:ascii="Times New Roman" w:eastAsia="Times New Roman" w:hAnsi="Times New Roman" w:cs="Times New Roman"/>
          <w:highlight w:val="yellow"/>
        </w:rPr>
        <w:t>на электронном магнитном носителе,</w:t>
      </w:r>
      <w:r>
        <w:rPr>
          <w:rFonts w:ascii="Times New Roman" w:eastAsia="Times New Roman" w:hAnsi="Times New Roman" w:cs="Times New Roman"/>
        </w:rPr>
        <w:t xml:space="preserve"> обеспечивающем долговременное безопасное хранение данных. Передача и приемка ТЗ оформляется Актом приема-передачи. В случае необоснов</w:t>
      </w:r>
      <w:r>
        <w:rPr>
          <w:rFonts w:ascii="Times New Roman" w:eastAsia="Times New Roman" w:hAnsi="Times New Roman" w:cs="Times New Roman"/>
        </w:rPr>
        <w:t>анного уклонения от подписания Акта приема-передачи и непредоставления мотивированных возражений, акт считается подписанным по истечении 5 (Пяти) рабочих дней с даты получения Акта.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3" w:name="_aytnnzb51oxt" w:colFirst="0" w:colLast="0"/>
      <w:bookmarkEnd w:id="3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СПОСОБЫ ИСПОЛЬЗОВАНИЯ ТОВАРНОГО ЗНАКА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Лицензиат имеет право использовать ТЗ любыми способами в соответствии с законодательством РФ, независимо от того, совершаются ли соответствующие действия в целях извлечения прибыли или без такой цели, в том числе, но не ограничиваясь для индивидуализации т</w:t>
      </w:r>
      <w:r>
        <w:rPr>
          <w:rFonts w:ascii="Times New Roman" w:eastAsia="Times New Roman" w:hAnsi="Times New Roman" w:cs="Times New Roman"/>
        </w:rPr>
        <w:t xml:space="preserve">оваров, работ или услуг, в отношении которых товарный знак зарегистрирован. 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Лицензиат вправе использовать ТЗ в частности путем размещения товарного знака: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на товарах, в том числе на этикетках, упаковках товаров, которые производятся, предлагаются к продаж</w:t>
      </w:r>
      <w:r>
        <w:rPr>
          <w:rFonts w:ascii="Times New Roman" w:eastAsia="Times New Roman" w:hAnsi="Times New Roman" w:cs="Times New Roman"/>
        </w:rPr>
        <w:t xml:space="preserve">е, продаются, демонстрируются на выставках и ярмарках или иным образом вводятся в гражданский оборот на территории Российской Федерации, либо хранятся или перевозятся с этой целью, либо ввозятся на территорию Российской Федерации; 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при выполнении работ, ок</w:t>
      </w:r>
      <w:r>
        <w:rPr>
          <w:rFonts w:ascii="Times New Roman" w:eastAsia="Times New Roman" w:hAnsi="Times New Roman" w:cs="Times New Roman"/>
        </w:rPr>
        <w:t>азании услуг;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на документации, связанной с введением товаров в гражданский оборот;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предложениях о продаже товаров, о выполнении работ, об оказании услуг, а также в объявлениях, на вывесках и в рекламе;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сети Интернет (социальных сетях), в том числе в до</w:t>
      </w:r>
      <w:r>
        <w:rPr>
          <w:rFonts w:ascii="Times New Roman" w:eastAsia="Times New Roman" w:hAnsi="Times New Roman" w:cs="Times New Roman"/>
        </w:rPr>
        <w:t>менном имени и при других способах адресации.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Перечень товаров, в отношении которых предоставляется право использования ТЗ, а также работ, услуг определяется в Приложении № 1 к Договору;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Лицензиат не вправе передавать ТЗ любым третьим лицам по сублицензии.</w:t>
      </w:r>
      <w:r>
        <w:rPr>
          <w:rFonts w:ascii="Times New Roman" w:eastAsia="Times New Roman" w:hAnsi="Times New Roman" w:cs="Times New Roman"/>
        </w:rPr>
        <w:t xml:space="preserve"> 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Лицензиат не вправе изменять, модифицировать ТЗ, а также создавать собственные ТЗ на основе лицензируемого ТЗ. 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0" w:hanging="141"/>
        <w:rPr>
          <w:sz w:val="22"/>
          <w:szCs w:val="22"/>
        </w:rPr>
      </w:pPr>
      <w:bookmarkStart w:id="4" w:name="_2qurbergp5ps" w:colFirst="0" w:colLast="0"/>
      <w:bookmarkEnd w:id="4"/>
      <w:r>
        <w:rPr>
          <w:rFonts w:ascii="Times New Roman" w:eastAsia="Times New Roman" w:hAnsi="Times New Roman" w:cs="Times New Roman"/>
          <w:b/>
          <w:sz w:val="22"/>
          <w:szCs w:val="22"/>
        </w:rPr>
        <w:t>РАЗМЕР ВОЗНАГРАЖДЕНИЯ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Лицензионное вознаграждение составляет </w:t>
      </w:r>
      <w:r>
        <w:rPr>
          <w:rFonts w:ascii="Times New Roman" w:eastAsia="Times New Roman" w:hAnsi="Times New Roman" w:cs="Times New Roman"/>
          <w:highlight w:val="yellow"/>
        </w:rPr>
        <w:t>______________ (________) рублей 00</w:t>
      </w:r>
      <w:r>
        <w:rPr>
          <w:rFonts w:ascii="Times New Roman" w:eastAsia="Times New Roman" w:hAnsi="Times New Roman" w:cs="Times New Roman"/>
        </w:rPr>
        <w:t xml:space="preserve"> копеек, </w:t>
      </w:r>
      <w:r>
        <w:rPr>
          <w:rFonts w:ascii="Times New Roman" w:eastAsia="Times New Roman" w:hAnsi="Times New Roman" w:cs="Times New Roman"/>
          <w:highlight w:val="yellow"/>
        </w:rPr>
        <w:t xml:space="preserve">без НДС/в том числе НДС. 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Лицензиат в</w:t>
      </w:r>
      <w:r>
        <w:rPr>
          <w:rFonts w:ascii="Times New Roman" w:eastAsia="Times New Roman" w:hAnsi="Times New Roman" w:cs="Times New Roman"/>
        </w:rPr>
        <w:t xml:space="preserve">ыплачивает лицензионное вознаграждение в течение </w:t>
      </w:r>
      <w:r>
        <w:rPr>
          <w:rFonts w:ascii="Times New Roman" w:eastAsia="Times New Roman" w:hAnsi="Times New Roman" w:cs="Times New Roman"/>
          <w:highlight w:val="yellow"/>
        </w:rPr>
        <w:t>____________ (_____)</w:t>
      </w:r>
      <w:r>
        <w:rPr>
          <w:rFonts w:ascii="Times New Roman" w:eastAsia="Times New Roman" w:hAnsi="Times New Roman" w:cs="Times New Roman"/>
        </w:rPr>
        <w:t xml:space="preserve"> календарных дней с момента подписания Акта приема-передачи. 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 xml:space="preserve">Стороны производят расчеты в безналичной форме по реквизитам сторон, указанным в Договоре.  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5" w:name="_vn956q6letu" w:colFirst="0" w:colLast="0"/>
      <w:bookmarkEnd w:id="5"/>
      <w:r>
        <w:rPr>
          <w:rFonts w:ascii="Times New Roman" w:eastAsia="Times New Roman" w:hAnsi="Times New Roman" w:cs="Times New Roman"/>
          <w:b/>
          <w:sz w:val="22"/>
          <w:szCs w:val="22"/>
        </w:rPr>
        <w:t>ПРАВА И ОБЯЗАННОСТИ СТОРОН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35"/>
        <w:jc w:val="both"/>
      </w:pPr>
      <w:r>
        <w:rPr>
          <w:rFonts w:ascii="Times New Roman" w:eastAsia="Times New Roman" w:hAnsi="Times New Roman" w:cs="Times New Roman"/>
        </w:rPr>
        <w:t>Лицен</w:t>
      </w:r>
      <w:r>
        <w:rPr>
          <w:rFonts w:ascii="Times New Roman" w:eastAsia="Times New Roman" w:hAnsi="Times New Roman" w:cs="Times New Roman"/>
        </w:rPr>
        <w:t>зиар обязуется: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Передать Лицензиату ТЗ, свободный от прав третьих лиц, в состоянии, позволяющем его использование на условиях Договора.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Воздерживаться от каких-либо действий, способных затруднить осуществление Лицензиатом предоставленных ему по Договору прав.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35"/>
      </w:pPr>
      <w:r>
        <w:rPr>
          <w:rFonts w:ascii="Times New Roman" w:eastAsia="Times New Roman" w:hAnsi="Times New Roman" w:cs="Times New Roman"/>
        </w:rPr>
        <w:t>Лицензиар вправе: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Знакомиться с документами Лицензиата, относящимися к использованию ТЗ.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hanging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нарушения Лицензиатом условий (способов) использования права на ТЗ по Договору, лишить Лицензиата права использования ТЗ. 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-30" w:hanging="135"/>
      </w:pPr>
      <w:r>
        <w:rPr>
          <w:rFonts w:ascii="Times New Roman" w:eastAsia="Times New Roman" w:hAnsi="Times New Roman" w:cs="Times New Roman"/>
        </w:rPr>
        <w:t>Лицензиат обязуется: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 xml:space="preserve">Предоставлять отчеты об использовании ТЗ Лицензиару по его требованию в порядке и в сроки, указанные в </w:t>
      </w:r>
      <w:r>
        <w:rPr>
          <w:rFonts w:ascii="Times New Roman" w:eastAsia="Times New Roman" w:hAnsi="Times New Roman" w:cs="Times New Roman"/>
        </w:rPr>
        <w:t>таком требовании.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hanging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соответствие качества производимых или реализуемых им товаров, работ/услуг, на которых помещается ТЗ, требованиям к качеству товар, работ/услуг Лицензиара. Лицензиар вправе осуществлять контроль за соблюдением этого условия.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36" w:hanging="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Ли</w:t>
      </w:r>
      <w:r>
        <w:rPr>
          <w:rFonts w:ascii="Times New Roman" w:eastAsia="Times New Roman" w:hAnsi="Times New Roman" w:cs="Times New Roman"/>
        </w:rPr>
        <w:t>цензиат вправе:</w:t>
      </w:r>
    </w:p>
    <w:p w:rsidR="00C538AE" w:rsidRDefault="00075DA5">
      <w:pPr>
        <w:numPr>
          <w:ilvl w:val="2"/>
          <w:numId w:val="1"/>
        </w:numPr>
        <w:spacing w:after="120" w:line="240" w:lineRule="auto"/>
        <w:ind w:left="36" w:hanging="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Отказаться от исполнения Договора, если Лицензиар в нарушение условий Договора отказывается передать Лицензиату право использования ТЗ по Договору.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6" w:name="_au53kbyl8fm0" w:colFirst="0" w:colLast="0"/>
      <w:bookmarkEnd w:id="6"/>
      <w:r>
        <w:rPr>
          <w:rFonts w:ascii="Times New Roman" w:eastAsia="Times New Roman" w:hAnsi="Times New Roman" w:cs="Times New Roman"/>
          <w:b/>
          <w:sz w:val="22"/>
          <w:szCs w:val="22"/>
        </w:rPr>
        <w:t>ОТВЕТСТВЕННОСТЬ СТОРОН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 xml:space="preserve">За невыполнение или ненадлежащее выполнение обязательств по Договору </w:t>
      </w:r>
      <w:r>
        <w:rPr>
          <w:rFonts w:ascii="Times New Roman" w:eastAsia="Times New Roman" w:hAnsi="Times New Roman" w:cs="Times New Roman"/>
        </w:rPr>
        <w:t>Стороны несут ответственность в соответствии с действующим законодательством Российской Федерации.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За нарушение сроков оплаты Лицензиар вправе требовать от Лицензиата уплаты неустойки (пени) в размере 0,1 % от неуплаченной суммы за каждый день просрочки.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 нарушение сроков передачи ТЗ Лицензиат вправе требовать от Лицензиара уплаты неустойки (пени) в размере 0,1 % от лицензионного вознаграждения за каждый день просрочки.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Использование Лицензиатом ТЗ способом, не предусмотренным Договором, либо по прекращен</w:t>
      </w:r>
      <w:r>
        <w:rPr>
          <w:rFonts w:ascii="Times New Roman" w:eastAsia="Times New Roman" w:hAnsi="Times New Roman" w:cs="Times New Roman"/>
        </w:rPr>
        <w:t>ии действия Договора, либо иным образом за пределами прав, предоставленных Лицензиату по Договору, влечет ответственность за нарушение исключительного права на результат интеллектуальной деятельности, установленную законодательством РФ, а также право Лицен</w:t>
      </w:r>
      <w:r>
        <w:rPr>
          <w:rFonts w:ascii="Times New Roman" w:eastAsia="Times New Roman" w:hAnsi="Times New Roman" w:cs="Times New Roman"/>
        </w:rPr>
        <w:t>зиара на односторонний отказ от Договора и прекращение лицензии.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Лицензиар не несет ответственности за убытки Лицензиата и/или третьих лиц, которые возникли прямо или косвенно в результате использования ТЗ, включая упущенную выгоду и возможный ущерб.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Лицензиар не несет ответственности и не возмещает убытки Лицензиата, вызванные нарушениями и/или ошибками при эксплуатации ТЗ, возникшие в результате неправомерных действий персонала Лицензиата, либо третьих лиц.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освобождаются от ответственности за</w:t>
      </w:r>
      <w:r>
        <w:rPr>
          <w:rFonts w:ascii="Times New Roman" w:eastAsia="Times New Roman" w:hAnsi="Times New Roman" w:cs="Times New Roman"/>
        </w:rPr>
        <w:t xml:space="preserve"> неисполнение или ненадлежащее исполнение обязательств по Договору при возникновении обстоятельств непреодолимой силы, т.е. чрезвычайных и непредсказуемых при данных условиях обстоятельств, к которым относятся, в частности, стихийные бедствия природного ха</w:t>
      </w:r>
      <w:r>
        <w:rPr>
          <w:rFonts w:ascii="Times New Roman" w:eastAsia="Times New Roman" w:hAnsi="Times New Roman" w:cs="Times New Roman"/>
        </w:rPr>
        <w:t xml:space="preserve">рактера (землетрясения, наводнения, пожары, снежные заносы и т.д.), диверсии, запретительные меры органов государственной власти, а также другие обстоятельства, признанные форс-мажорными. В случае наступления этих обстоятельств Сторона обязана в течение 5 </w:t>
      </w:r>
      <w:r>
        <w:rPr>
          <w:rFonts w:ascii="Times New Roman" w:eastAsia="Times New Roman" w:hAnsi="Times New Roman" w:cs="Times New Roman"/>
        </w:rPr>
        <w:t>(пяти) рабочих дней уведомить об этом другую Сторону. Если обстоятельства непреодолимой силы продолжают действовать более 30 (тридцати) календарных дней, то каждая Сторона вправе отказаться от исполнения Договора в одностороннем порядке.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hanging="135"/>
        <w:jc w:val="both"/>
        <w:rPr>
          <w:sz w:val="22"/>
          <w:szCs w:val="22"/>
        </w:rPr>
      </w:pPr>
      <w:bookmarkStart w:id="7" w:name="_7ytgyuocmtvr" w:colFirst="0" w:colLast="0"/>
      <w:bookmarkEnd w:id="7"/>
      <w:r>
        <w:rPr>
          <w:rFonts w:ascii="Times New Roman" w:eastAsia="Times New Roman" w:hAnsi="Times New Roman" w:cs="Times New Roman"/>
          <w:b/>
          <w:sz w:val="22"/>
          <w:szCs w:val="22"/>
        </w:rPr>
        <w:t>КОНФИДЕНЦИАЛЬНОСТЬ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Стороны признают, что вся информация, которая передается Сторонами друг другу по Договору, является конфиденциальной информацией и (или) информацией, составляющей коммерческую тайну Сторон.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>Под Коммерческой тайной Стороны будут понимать зафиксированную ли</w:t>
      </w:r>
      <w:r>
        <w:rPr>
          <w:rFonts w:ascii="Times New Roman" w:eastAsia="Times New Roman" w:hAnsi="Times New Roman" w:cs="Times New Roman"/>
          <w:highlight w:val="white"/>
        </w:rPr>
        <w:t>бо не зафиксированную на материальном носителе научно-техническую, технологическую, производственную, финансово-экономическую или любую иную информацию, которая имеет действительную или потенциальную коммерческую ценность в силу неизвестности ее третьим ли</w:t>
      </w:r>
      <w:r>
        <w:rPr>
          <w:rFonts w:ascii="Times New Roman" w:eastAsia="Times New Roman" w:hAnsi="Times New Roman" w:cs="Times New Roman"/>
          <w:highlight w:val="white"/>
        </w:rPr>
        <w:t>цам, к которой нет свободного доступа на законном основании третьим лицам и в отношении которой Стороной, как обладателем такой информации, введен режим коммерческой тайны. Сведения, составляющие коммерческую тайну, передаются Сторонами друг другу с указан</w:t>
      </w:r>
      <w:r>
        <w:rPr>
          <w:rFonts w:ascii="Times New Roman" w:eastAsia="Times New Roman" w:hAnsi="Times New Roman" w:cs="Times New Roman"/>
          <w:highlight w:val="white"/>
        </w:rPr>
        <w:t>ием об этом либо без данного указания.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Стороны обязуются не разглашать и обеспечить ограничение доступа ставшую им известной конфиденциальную информацию и (или) сведения, составляющие коммерческую тайну Сторон, как в течение срока действия Договора, так и </w:t>
      </w:r>
      <w:r>
        <w:rPr>
          <w:rFonts w:ascii="Times New Roman" w:eastAsia="Times New Roman" w:hAnsi="Times New Roman" w:cs="Times New Roman"/>
          <w:highlight w:val="white"/>
        </w:rPr>
        <w:t>в течение 5 (пяти) лет с даты окончания действия Договора.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-30" w:hanging="135"/>
        <w:rPr>
          <w:sz w:val="22"/>
          <w:szCs w:val="22"/>
        </w:rPr>
      </w:pPr>
      <w:bookmarkStart w:id="8" w:name="_rucgqpd3kbsi" w:colFirst="0" w:colLast="0"/>
      <w:bookmarkEnd w:id="8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СРОК ДЕЙСТВИЯ ДОГОВОРА. ПОРЯДОК ЕГО РАСТОРЖЕНИЯ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Договор вступает в силу с момента регистрации договора в Федеральной службе по интеллектуальной собственности. Пошлина для регистрации Договора оплач</w:t>
      </w:r>
      <w:r>
        <w:rPr>
          <w:rFonts w:ascii="Times New Roman" w:eastAsia="Times New Roman" w:hAnsi="Times New Roman" w:cs="Times New Roman"/>
        </w:rPr>
        <w:t xml:space="preserve">ивается </w:t>
      </w:r>
      <w:r>
        <w:rPr>
          <w:rFonts w:ascii="Times New Roman" w:eastAsia="Times New Roman" w:hAnsi="Times New Roman" w:cs="Times New Roman"/>
          <w:highlight w:val="yellow"/>
        </w:rPr>
        <w:t>Лицензиатом/Лицензиаром.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В случае использования Лицензиатом ТЗ за пределами предоставленного ему права или несоблюдения им установленных Договором запретов, Лицензиар имеет право отказаться от Договора в одностороннем порядке, без возврата Лицензиа</w:t>
      </w:r>
      <w:r>
        <w:rPr>
          <w:rFonts w:ascii="Times New Roman" w:eastAsia="Times New Roman" w:hAnsi="Times New Roman" w:cs="Times New Roman"/>
        </w:rPr>
        <w:t>ту каких-либо денежных средств, путем направления Лицензиату уведомления о расторжении Договора.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После прекращения действия Договора Лицензиат обязуется немедленно прекратить использование ТЗ и впредь не использовать, а также возвратить Лицензиару всю доку</w:t>
      </w:r>
      <w:r>
        <w:rPr>
          <w:rFonts w:ascii="Times New Roman" w:eastAsia="Times New Roman" w:hAnsi="Times New Roman" w:cs="Times New Roman"/>
        </w:rPr>
        <w:t>ментацию, связанную с ТЗ и переданную Лицензиату.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Лицензиат вправе отказаться от Договора в случае нарушения Лицензиаром срока передачи права использования ТЗ, указанного в Договоре.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9" w:name="_fayfeo7a5dnb" w:colFirst="0" w:colLast="0"/>
      <w:bookmarkEnd w:id="9"/>
      <w:r>
        <w:rPr>
          <w:rFonts w:ascii="Times New Roman" w:eastAsia="Times New Roman" w:hAnsi="Times New Roman" w:cs="Times New Roman"/>
          <w:b/>
          <w:sz w:val="22"/>
          <w:szCs w:val="22"/>
        </w:rPr>
        <w:t>РАЗРЕШЕНИЕ СПОРОВ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Стороны обязуются соблюдать претензионный порядок разре</w:t>
      </w:r>
      <w:r>
        <w:rPr>
          <w:rFonts w:ascii="Times New Roman" w:eastAsia="Times New Roman" w:hAnsi="Times New Roman" w:cs="Times New Roman"/>
        </w:rPr>
        <w:t>шения споров и разногласий. Претензии предъявляются в письменной форме, подписываются уполномоченными лицами Сторон и передаются одним из способов: нарочно, направляются заказными письмами или по электронной почте, указанной в реквизитах Договора. Ответ на</w:t>
      </w:r>
      <w:r>
        <w:rPr>
          <w:rFonts w:ascii="Times New Roman" w:eastAsia="Times New Roman" w:hAnsi="Times New Roman" w:cs="Times New Roman"/>
        </w:rPr>
        <w:t xml:space="preserve"> претензию должен быть направлен получившей Стороной в течение 10 (десяти) календарных дней.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</w:rPr>
        <w:t>В случае недостижения согласия Сторон в результате переговоров и в претензионном порядке, спор передается на рассмотрение в арбитражный суд по месту нахождения ист</w:t>
      </w:r>
      <w:r>
        <w:rPr>
          <w:rFonts w:ascii="Times New Roman" w:eastAsia="Times New Roman" w:hAnsi="Times New Roman" w:cs="Times New Roman"/>
        </w:rPr>
        <w:t>ца.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0" w:hanging="141"/>
        <w:jc w:val="both"/>
        <w:rPr>
          <w:sz w:val="22"/>
          <w:szCs w:val="22"/>
        </w:rPr>
      </w:pPr>
      <w:bookmarkStart w:id="10" w:name="_kprxokpkv9qn" w:colFirst="0" w:colLast="0"/>
      <w:bookmarkEnd w:id="10"/>
      <w:r>
        <w:rPr>
          <w:rFonts w:ascii="Times New Roman" w:eastAsia="Times New Roman" w:hAnsi="Times New Roman" w:cs="Times New Roman"/>
          <w:b/>
          <w:sz w:val="22"/>
          <w:szCs w:val="22"/>
        </w:rPr>
        <w:t>ЭЛЕКТРОННЫЙ ДОКУМЕНТООБОРОТ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Сообщения по Договору должны совершаться в письменной форме, подписываться уполномоченными представителями Сторон и направляться по указанным в Договоре адресам Сторон. Стороны имеют право вести переписку и пересылать любые </w:t>
      </w:r>
      <w:r>
        <w:rPr>
          <w:rFonts w:ascii="Times New Roman" w:eastAsia="Times New Roman" w:hAnsi="Times New Roman" w:cs="Times New Roman"/>
          <w:highlight w:val="white"/>
        </w:rPr>
        <w:t>документы (договоры, дополнительные соглашения, спецификации, приложения, акты сверок, счета и иные), которые имеют отношение к Договору, а также те, которые являются его неотъемлемой частью, в частности, с помощью электронной почты. Для целей обмена докум</w:t>
      </w:r>
      <w:r>
        <w:rPr>
          <w:rFonts w:ascii="Times New Roman" w:eastAsia="Times New Roman" w:hAnsi="Times New Roman" w:cs="Times New Roman"/>
          <w:highlight w:val="white"/>
        </w:rPr>
        <w:t>ентами Стороны согласовали адреса электронной почты в реквизитах Договора.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left="0" w:hanging="141"/>
        <w:jc w:val="both"/>
      </w:pPr>
      <w:r>
        <w:rPr>
          <w:rFonts w:ascii="Times New Roman" w:eastAsia="Times New Roman" w:hAnsi="Times New Roman" w:cs="Times New Roman"/>
          <w:highlight w:val="white"/>
        </w:rPr>
        <w:t xml:space="preserve">Если иное прямо не предусмотрено Приложением, скан-копии документов будут иметь силу  оригинала до их замены на оригинал.  </w:t>
      </w:r>
    </w:p>
    <w:p w:rsidR="00C538AE" w:rsidRDefault="00075DA5">
      <w:pPr>
        <w:pStyle w:val="1"/>
        <w:numPr>
          <w:ilvl w:val="0"/>
          <w:numId w:val="1"/>
        </w:numPr>
        <w:spacing w:before="0" w:line="240" w:lineRule="auto"/>
        <w:ind w:left="-30" w:hanging="135"/>
        <w:jc w:val="both"/>
        <w:rPr>
          <w:sz w:val="22"/>
          <w:szCs w:val="22"/>
        </w:rPr>
      </w:pPr>
      <w:bookmarkStart w:id="11" w:name="_xm9f5zryr03o" w:colFirst="0" w:colLast="0"/>
      <w:bookmarkEnd w:id="11"/>
      <w:r>
        <w:rPr>
          <w:rFonts w:ascii="Times New Roman" w:eastAsia="Times New Roman" w:hAnsi="Times New Roman" w:cs="Times New Roman"/>
          <w:b/>
          <w:sz w:val="22"/>
          <w:szCs w:val="22"/>
        </w:rPr>
        <w:t>ЗАКЛЮЧИТЕЛЬНЫЕ ПОЛОЖЕНИЯ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Во всем остальном, что не предусмотрено Договором, Стороны будут руководствоваться действующим законодательством Российской Федерации.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Ни одна из Сторон не вправе передавать свои права и обязанности по Договору третьему лицу, не являющемуся стороной по Дог</w:t>
      </w:r>
      <w:r>
        <w:rPr>
          <w:rFonts w:ascii="Times New Roman" w:eastAsia="Times New Roman" w:hAnsi="Times New Roman" w:cs="Times New Roman"/>
        </w:rPr>
        <w:t>овору, без письменного согласия другой Стороны по Договору.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При изменении наименования, адреса, банковских реквизитов или реорганизации Стороны информируют друг друга в письменном виде в течение 5 (пяти) календарных дней.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>Договор составлен в 3-х экземпляра</w:t>
      </w:r>
      <w:r>
        <w:rPr>
          <w:rFonts w:ascii="Times New Roman" w:eastAsia="Times New Roman" w:hAnsi="Times New Roman" w:cs="Times New Roman"/>
        </w:rPr>
        <w:t>х, имеющих одинаковую юридическую силу, по одному экземпляру для каждой стороны и один экземпляр для Федеральной службы по интеллектуальной собственности.</w:t>
      </w:r>
    </w:p>
    <w:p w:rsidR="00C538AE" w:rsidRDefault="00075DA5">
      <w:pPr>
        <w:numPr>
          <w:ilvl w:val="1"/>
          <w:numId w:val="1"/>
        </w:numPr>
        <w:spacing w:after="120" w:line="240" w:lineRule="auto"/>
        <w:ind w:hanging="135"/>
        <w:jc w:val="both"/>
      </w:pPr>
      <w:r>
        <w:rPr>
          <w:rFonts w:ascii="Times New Roman" w:eastAsia="Times New Roman" w:hAnsi="Times New Roman" w:cs="Times New Roman"/>
        </w:rPr>
        <w:t xml:space="preserve">Договор составлен на </w:t>
      </w:r>
      <w:r>
        <w:rPr>
          <w:rFonts w:ascii="Times New Roman" w:eastAsia="Times New Roman" w:hAnsi="Times New Roman" w:cs="Times New Roman"/>
          <w:highlight w:val="yellow"/>
        </w:rPr>
        <w:t>6 (шести) листах</w:t>
      </w:r>
      <w:r>
        <w:rPr>
          <w:rFonts w:ascii="Times New Roman" w:eastAsia="Times New Roman" w:hAnsi="Times New Roman" w:cs="Times New Roman"/>
        </w:rPr>
        <w:t>, включая Приложение № 1 и Акт приема-передачи</w:t>
      </w:r>
      <w:r>
        <w:rPr>
          <w:rFonts w:ascii="Times New Roman" w:eastAsia="Times New Roman" w:hAnsi="Times New Roman" w:cs="Times New Roman"/>
        </w:rPr>
        <w:t xml:space="preserve">. Подписи сторон расположены в преамбуле Договора. </w:t>
      </w:r>
      <w:r>
        <w:br w:type="page"/>
      </w:r>
    </w:p>
    <w:p w:rsidR="00C538AE" w:rsidRDefault="00075DA5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2"/>
          <w:szCs w:val="22"/>
        </w:rPr>
      </w:pPr>
      <w:bookmarkStart w:id="12" w:name="_87hic11qmjyp" w:colFirst="0" w:colLast="0"/>
      <w:bookmarkEnd w:id="12"/>
      <w:r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ПРИЛОЖЕНИЕ № 1</w:t>
      </w:r>
    </w:p>
    <w:p w:rsidR="00C538AE" w:rsidRDefault="00075DA5">
      <w:pPr>
        <w:pStyle w:val="a3"/>
        <w:spacing w:after="200" w:line="240" w:lineRule="auto"/>
        <w:rPr>
          <w:rFonts w:ascii="Times New Roman" w:eastAsia="Times New Roman" w:hAnsi="Times New Roman" w:cs="Times New Roman"/>
          <w:sz w:val="22"/>
          <w:szCs w:val="22"/>
        </w:rPr>
      </w:pPr>
      <w:bookmarkStart w:id="13" w:name="_no36tq9dgq7a" w:colFirst="0" w:colLast="0"/>
      <w:bookmarkEnd w:id="13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к Лицензионному договору № </w:t>
      </w:r>
      <w:r>
        <w:rPr>
          <w:rFonts w:ascii="Times New Roman" w:eastAsia="Times New Roman" w:hAnsi="Times New Roman" w:cs="Times New Roman"/>
          <w:b/>
          <w:sz w:val="22"/>
          <w:szCs w:val="22"/>
          <w:highlight w:val="yellow"/>
        </w:rPr>
        <w:t xml:space="preserve">___ от  “__” ______ 20__ 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>г.</w:t>
      </w:r>
    </w:p>
    <w:p w:rsidR="00C538AE" w:rsidRDefault="00075D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>________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highlight w:val="yellow"/>
        </w:rPr>
        <w:t>“_</w:t>
      </w:r>
      <w:r>
        <w:rPr>
          <w:rFonts w:ascii="Times New Roman" w:eastAsia="Times New Roman" w:hAnsi="Times New Roman" w:cs="Times New Roman"/>
          <w:highlight w:val="yellow"/>
        </w:rPr>
        <w:t xml:space="preserve">_” ______ 20__ </w:t>
      </w:r>
      <w:r>
        <w:rPr>
          <w:rFonts w:ascii="Times New Roman" w:eastAsia="Times New Roman" w:hAnsi="Times New Roman" w:cs="Times New Roman"/>
        </w:rPr>
        <w:t>г.</w:t>
      </w:r>
    </w:p>
    <w:tbl>
      <w:tblPr>
        <w:tblStyle w:val="a7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C538AE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Лицензиар: 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C538AE" w:rsidRDefault="00C538AE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C538A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Лицензиат:  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C538AE" w:rsidRDefault="00C538AE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C538AE" w:rsidRDefault="00C538AE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  <w:b/>
        </w:rPr>
      </w:pPr>
    </w:p>
    <w:p w:rsidR="00C538AE" w:rsidRDefault="00075DA5">
      <w:pPr>
        <w:numPr>
          <w:ilvl w:val="0"/>
          <w:numId w:val="3"/>
        </w:numPr>
        <w:spacing w:after="120" w:line="240" w:lineRule="auto"/>
        <w:ind w:left="36" w:hanging="17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Описание товарного знака:</w:t>
      </w:r>
    </w:p>
    <w:p w:rsidR="00C538AE" w:rsidRDefault="00075DA5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Номер государственной регистрации: </w:t>
      </w:r>
      <w:r>
        <w:rPr>
          <w:rFonts w:ascii="Times New Roman" w:eastAsia="Times New Roman" w:hAnsi="Times New Roman" w:cs="Times New Roman"/>
          <w:highlight w:val="yellow"/>
        </w:rPr>
        <w:br/>
      </w:r>
      <w:r>
        <w:rPr>
          <w:rFonts w:ascii="Times New Roman" w:eastAsia="Times New Roman" w:hAnsi="Times New Roman" w:cs="Times New Roman"/>
          <w:highlight w:val="yellow"/>
        </w:rPr>
        <w:t xml:space="preserve">Номер заявки: </w:t>
      </w:r>
      <w:r>
        <w:rPr>
          <w:rFonts w:ascii="Times New Roman" w:eastAsia="Times New Roman" w:hAnsi="Times New Roman" w:cs="Times New Roman"/>
          <w:highlight w:val="yellow"/>
        </w:rPr>
        <w:br/>
        <w:t xml:space="preserve">Дата истечения срока действия исключительного права: </w:t>
      </w:r>
    </w:p>
    <w:p w:rsidR="00C538AE" w:rsidRDefault="00075DA5">
      <w:pPr>
        <w:spacing w:after="120" w:line="240" w:lineRule="auto"/>
        <w:jc w:val="both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Приоритет товарного знака: . </w:t>
      </w:r>
      <w:r>
        <w:rPr>
          <w:rFonts w:ascii="Times New Roman" w:eastAsia="Times New Roman" w:hAnsi="Times New Roman" w:cs="Times New Roman"/>
          <w:highlight w:val="yellow"/>
        </w:rPr>
        <w:br/>
        <w:t xml:space="preserve">Дата подачи заявки:   </w:t>
      </w:r>
      <w:r>
        <w:rPr>
          <w:rFonts w:ascii="Times New Roman" w:eastAsia="Times New Roman" w:hAnsi="Times New Roman" w:cs="Times New Roman"/>
          <w:highlight w:val="yellow"/>
        </w:rPr>
        <w:br/>
        <w:t xml:space="preserve">Дата государственной регистрации: </w:t>
      </w:r>
      <w:r>
        <w:rPr>
          <w:rFonts w:ascii="Times New Roman" w:eastAsia="Times New Roman" w:hAnsi="Times New Roman" w:cs="Times New Roman"/>
          <w:highlight w:val="yellow"/>
        </w:rPr>
        <w:br/>
        <w:t xml:space="preserve">Дата публикации: </w:t>
      </w:r>
    </w:p>
    <w:p w:rsidR="00C538AE" w:rsidRDefault="00075DA5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 xml:space="preserve">Классы МКТУ  </w:t>
      </w:r>
      <w:r>
        <w:rPr>
          <w:rFonts w:ascii="Times New Roman" w:eastAsia="Times New Roman" w:hAnsi="Times New Roman" w:cs="Times New Roman"/>
          <w:highlight w:val="yellow"/>
        </w:rPr>
        <w:br/>
        <w:t>Изображение (воспроизведение) товарного знака, знака обслуживания:</w:t>
      </w:r>
    </w:p>
    <w:tbl>
      <w:tblPr>
        <w:tblStyle w:val="a8"/>
        <w:tblW w:w="927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270"/>
      </w:tblGrid>
      <w:tr w:rsidR="00C538AE">
        <w:trPr>
          <w:trHeight w:val="1050"/>
        </w:trPr>
        <w:tc>
          <w:tcPr>
            <w:tcW w:w="92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Картинка </w:t>
            </w:r>
          </w:p>
        </w:tc>
      </w:tr>
    </w:tbl>
    <w:p w:rsidR="00C538AE" w:rsidRDefault="00C538AE">
      <w:pPr>
        <w:spacing w:after="120" w:line="240" w:lineRule="auto"/>
        <w:jc w:val="both"/>
        <w:rPr>
          <w:rFonts w:ascii="Times New Roman" w:eastAsia="Times New Roman" w:hAnsi="Times New Roman" w:cs="Times New Roman"/>
        </w:rPr>
      </w:pPr>
    </w:p>
    <w:p w:rsidR="00C538AE" w:rsidRDefault="00075DA5">
      <w:pPr>
        <w:numPr>
          <w:ilvl w:val="0"/>
          <w:numId w:val="3"/>
        </w:numPr>
        <w:spacing w:after="120" w:line="240" w:lineRule="auto"/>
        <w:ind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Перечень товаров, в отношении которых предоставляется право использования ТЗ, а также работ, услуг: </w:t>
      </w:r>
    </w:p>
    <w:p w:rsidR="00C538AE" w:rsidRDefault="00075DA5">
      <w:pPr>
        <w:numPr>
          <w:ilvl w:val="1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__________________</w:t>
      </w:r>
      <w:r>
        <w:rPr>
          <w:rFonts w:ascii="Times New Roman" w:eastAsia="Times New Roman" w:hAnsi="Times New Roman" w:cs="Times New Roman"/>
        </w:rPr>
        <w:t>;</w:t>
      </w:r>
    </w:p>
    <w:p w:rsidR="00C538AE" w:rsidRDefault="00075DA5">
      <w:pPr>
        <w:numPr>
          <w:ilvl w:val="1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__________________</w:t>
      </w:r>
      <w:r>
        <w:rPr>
          <w:rFonts w:ascii="Times New Roman" w:eastAsia="Times New Roman" w:hAnsi="Times New Roman" w:cs="Times New Roman"/>
        </w:rPr>
        <w:t>;</w:t>
      </w:r>
    </w:p>
    <w:p w:rsidR="00C538AE" w:rsidRDefault="00075DA5">
      <w:pPr>
        <w:numPr>
          <w:ilvl w:val="1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__________________</w:t>
      </w:r>
      <w:r>
        <w:rPr>
          <w:rFonts w:ascii="Times New Roman" w:eastAsia="Times New Roman" w:hAnsi="Times New Roman" w:cs="Times New Roman"/>
        </w:rPr>
        <w:t>.</w:t>
      </w:r>
    </w:p>
    <w:p w:rsidR="00C538AE" w:rsidRDefault="00075DA5">
      <w:pPr>
        <w:numPr>
          <w:ilvl w:val="0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Приложение составлено на </w:t>
      </w:r>
      <w:r>
        <w:rPr>
          <w:rFonts w:ascii="Times New Roman" w:eastAsia="Times New Roman" w:hAnsi="Times New Roman" w:cs="Times New Roman"/>
          <w:highlight w:val="yellow"/>
        </w:rPr>
        <w:t>1 (одном)</w:t>
      </w:r>
      <w:r>
        <w:rPr>
          <w:rFonts w:ascii="Times New Roman" w:eastAsia="Times New Roman" w:hAnsi="Times New Roman" w:cs="Times New Roman"/>
        </w:rPr>
        <w:t xml:space="preserve"> листе. Подписи сторон расположены в преамбуле.</w:t>
      </w:r>
    </w:p>
    <w:p w:rsidR="00C538AE" w:rsidRDefault="00075DA5">
      <w:pPr>
        <w:numPr>
          <w:ilvl w:val="1"/>
          <w:numId w:val="3"/>
        </w:numPr>
        <w:spacing w:after="120" w:line="240" w:lineRule="auto"/>
        <w:ind w:left="0" w:hanging="141"/>
        <w:jc w:val="both"/>
        <w:rPr>
          <w:rFonts w:ascii="Times New Roman" w:eastAsia="Times New Roman" w:hAnsi="Times New Roman" w:cs="Times New Roman"/>
        </w:rPr>
      </w:pPr>
      <w:r>
        <w:br w:type="page"/>
      </w:r>
    </w:p>
    <w:p w:rsidR="00C538AE" w:rsidRDefault="00075DA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Акт приема-передачи</w:t>
      </w:r>
    </w:p>
    <w:p w:rsidR="00C538AE" w:rsidRDefault="00075DA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 Лицензионному договору № </w:t>
      </w:r>
      <w:r>
        <w:rPr>
          <w:rFonts w:ascii="Times New Roman" w:eastAsia="Times New Roman" w:hAnsi="Times New Roman" w:cs="Times New Roman"/>
          <w:b/>
          <w:highlight w:val="yellow"/>
        </w:rPr>
        <w:t>___ от  “__” ______ 20__</w:t>
      </w:r>
      <w:r>
        <w:rPr>
          <w:rFonts w:ascii="Times New Roman" w:eastAsia="Times New Roman" w:hAnsi="Times New Roman" w:cs="Times New Roman"/>
          <w:b/>
        </w:rPr>
        <w:t xml:space="preserve"> г.</w:t>
      </w:r>
    </w:p>
    <w:p w:rsidR="00C538AE" w:rsidRDefault="00075DA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г. </w:t>
      </w:r>
      <w:r>
        <w:rPr>
          <w:rFonts w:ascii="Times New Roman" w:eastAsia="Times New Roman" w:hAnsi="Times New Roman" w:cs="Times New Roman"/>
          <w:highlight w:val="yellow"/>
        </w:rPr>
        <w:t xml:space="preserve">________ </w:t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</w:r>
      <w:r>
        <w:rPr>
          <w:rFonts w:ascii="Times New Roman" w:eastAsia="Times New Roman" w:hAnsi="Times New Roman" w:cs="Times New Roman"/>
          <w:highlight w:val="yellow"/>
        </w:rPr>
        <w:tab/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ab/>
        <w:t xml:space="preserve">“__” ______ 20__ </w:t>
      </w:r>
      <w:r>
        <w:rPr>
          <w:rFonts w:ascii="Times New Roman" w:eastAsia="Times New Roman" w:hAnsi="Times New Roman" w:cs="Times New Roman"/>
        </w:rPr>
        <w:t>г.</w:t>
      </w:r>
    </w:p>
    <w:tbl>
      <w:tblPr>
        <w:tblStyle w:val="a9"/>
        <w:tblW w:w="975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5940"/>
      </w:tblGrid>
      <w:tr w:rsidR="00C538AE">
        <w:trPr>
          <w:trHeight w:val="495"/>
        </w:trPr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Лицензиар: 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C538AE" w:rsidRDefault="00C538AE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  <w:tr w:rsidR="00C538AE">
        <w:tc>
          <w:tcPr>
            <w:tcW w:w="38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Лицензиат:  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ООО “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____</w:t>
            </w:r>
            <w:r>
              <w:rPr>
                <w:rFonts w:ascii="Times New Roman" w:eastAsia="Times New Roman" w:hAnsi="Times New Roman" w:cs="Times New Roman"/>
                <w:b/>
              </w:rPr>
              <w:t>”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Генеральный директор</w:t>
            </w:r>
          </w:p>
          <w:p w:rsidR="00C538AE" w:rsidRDefault="00C538AE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______________ /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_____________</w:t>
            </w:r>
            <w:r>
              <w:rPr>
                <w:rFonts w:ascii="Times New Roman" w:eastAsia="Times New Roman" w:hAnsi="Times New Roman" w:cs="Times New Roman"/>
              </w:rPr>
              <w:t xml:space="preserve"> /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м.п.</w:t>
            </w:r>
          </w:p>
          <w:p w:rsidR="00C538AE" w:rsidRDefault="00C538AE">
            <w:pPr>
              <w:widowControl w:val="0"/>
              <w:spacing w:line="240" w:lineRule="auto"/>
              <w:ind w:hanging="14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Юридический адрес: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 xml:space="preserve">, ИНН/КПП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банке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к/с: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БИК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e-mail: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  <w:p w:rsidR="00C538AE" w:rsidRDefault="00075DA5">
            <w:pPr>
              <w:widowControl w:val="0"/>
              <w:spacing w:line="240" w:lineRule="auto"/>
              <w:ind w:left="141" w:hanging="13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>_____</w:t>
            </w:r>
          </w:p>
        </w:tc>
      </w:tr>
    </w:tbl>
    <w:p w:rsidR="00C538AE" w:rsidRDefault="00C538AE">
      <w:pPr>
        <w:spacing w:line="240" w:lineRule="auto"/>
        <w:ind w:hanging="141"/>
        <w:jc w:val="both"/>
        <w:rPr>
          <w:rFonts w:ascii="Times New Roman" w:eastAsia="Times New Roman" w:hAnsi="Times New Roman" w:cs="Times New Roman"/>
        </w:rPr>
      </w:pPr>
    </w:p>
    <w:p w:rsidR="00C538AE" w:rsidRDefault="00075DA5">
      <w:pPr>
        <w:numPr>
          <w:ilvl w:val="0"/>
          <w:numId w:val="2"/>
        </w:numPr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Лицензиар передал, а Лицензиат принял Товарный знак </w:t>
      </w:r>
      <w:r>
        <w:rPr>
          <w:rFonts w:ascii="Times New Roman" w:eastAsia="Times New Roman" w:hAnsi="Times New Roman" w:cs="Times New Roman"/>
          <w:highlight w:val="yellow"/>
        </w:rPr>
        <w:t>“__________”</w:t>
      </w:r>
      <w:r>
        <w:rPr>
          <w:rFonts w:ascii="Times New Roman" w:eastAsia="Times New Roman" w:hAnsi="Times New Roman" w:cs="Times New Roman"/>
        </w:rPr>
        <w:t xml:space="preserve">, принадлежащий Лицензиару и зарегистрированный в Федеральной службе по интеллектуальной собственности: свидетельство о регистрации № </w:t>
      </w:r>
      <w:r>
        <w:rPr>
          <w:rFonts w:ascii="Times New Roman" w:eastAsia="Times New Roman" w:hAnsi="Times New Roman" w:cs="Times New Roman"/>
          <w:highlight w:val="yellow"/>
        </w:rPr>
        <w:t>______</w:t>
      </w:r>
      <w:r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  <w:highlight w:val="yellow"/>
        </w:rPr>
        <w:t xml:space="preserve">“__” ______ 20__ </w:t>
      </w:r>
      <w:r>
        <w:rPr>
          <w:rFonts w:ascii="Times New Roman" w:eastAsia="Times New Roman" w:hAnsi="Times New Roman" w:cs="Times New Roman"/>
        </w:rPr>
        <w:t>г.</w:t>
      </w:r>
    </w:p>
    <w:p w:rsidR="00C538AE" w:rsidRDefault="00075DA5">
      <w:pPr>
        <w:numPr>
          <w:ilvl w:val="0"/>
          <w:numId w:val="2"/>
        </w:numPr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Товарный знак передан в 1 (одном) экземпляре на </w:t>
      </w:r>
      <w:r>
        <w:rPr>
          <w:rFonts w:ascii="Times New Roman" w:eastAsia="Times New Roman" w:hAnsi="Times New Roman" w:cs="Times New Roman"/>
          <w:highlight w:val="yellow"/>
        </w:rPr>
        <w:t>электронном магнитном носителе,</w:t>
      </w:r>
      <w:r>
        <w:rPr>
          <w:rFonts w:ascii="Times New Roman" w:eastAsia="Times New Roman" w:hAnsi="Times New Roman" w:cs="Times New Roman"/>
        </w:rPr>
        <w:t xml:space="preserve"> обеспечивающем долговременное безопасное хранение данных.</w:t>
      </w:r>
    </w:p>
    <w:p w:rsidR="00C538AE" w:rsidRDefault="00075DA5">
      <w:pPr>
        <w:numPr>
          <w:ilvl w:val="0"/>
          <w:numId w:val="2"/>
        </w:numPr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Стороны не имеют претензий друг к другу.</w:t>
      </w:r>
    </w:p>
    <w:p w:rsidR="00C538AE" w:rsidRDefault="00075DA5">
      <w:pPr>
        <w:numPr>
          <w:ilvl w:val="0"/>
          <w:numId w:val="2"/>
        </w:numPr>
        <w:spacing w:after="120" w:line="240" w:lineRule="auto"/>
        <w:ind w:left="0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Акт составлен на 1 (одном) листе. Подписи сторон располож</w:t>
      </w:r>
      <w:r>
        <w:rPr>
          <w:rFonts w:ascii="Times New Roman" w:eastAsia="Times New Roman" w:hAnsi="Times New Roman" w:cs="Times New Roman"/>
        </w:rPr>
        <w:t>ены в преамбуле.</w:t>
      </w:r>
    </w:p>
    <w:sectPr w:rsidR="00C538AE">
      <w:footerReference w:type="default" r:id="rId9"/>
      <w:pgSz w:w="11906" w:h="16838"/>
      <w:pgMar w:top="1133" w:right="850" w:bottom="1247" w:left="1275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DA5" w:rsidRDefault="00075DA5">
      <w:pPr>
        <w:spacing w:line="240" w:lineRule="auto"/>
      </w:pPr>
      <w:r>
        <w:separator/>
      </w:r>
    </w:p>
  </w:endnote>
  <w:endnote w:type="continuationSeparator" w:id="0">
    <w:p w:rsidR="00075DA5" w:rsidRDefault="00075D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P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8AE" w:rsidRDefault="00075DA5">
    <w:pPr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7276D3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7276D3">
      <w:rPr>
        <w:rFonts w:ascii="Times New Roman" w:eastAsia="Times New Roman" w:hAnsi="Times New Roman" w:cs="Times New Roman"/>
        <w:noProof/>
        <w:sz w:val="20"/>
        <w:szCs w:val="20"/>
      </w:rPr>
      <w:t>2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DA5" w:rsidRDefault="00075DA5">
      <w:pPr>
        <w:spacing w:line="240" w:lineRule="auto"/>
      </w:pPr>
      <w:r>
        <w:separator/>
      </w:r>
    </w:p>
  </w:footnote>
  <w:footnote w:type="continuationSeparator" w:id="0">
    <w:p w:rsidR="00075DA5" w:rsidRDefault="00075D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540"/>
    <w:multiLevelType w:val="multilevel"/>
    <w:tmpl w:val="9B4886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A03755E"/>
    <w:multiLevelType w:val="multilevel"/>
    <w:tmpl w:val="AAC2478A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b/>
        <w:sz w:val="24"/>
        <w:szCs w:val="24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rFonts w:ascii="Times New Roman" w:eastAsia="Times New Roman" w:hAnsi="Times New Roman" w:cs="Times New Roman"/>
        <w:b w:val="0"/>
        <w:sz w:val="24"/>
        <w:szCs w:val="24"/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>
    <w:nsid w:val="7F134EAC"/>
    <w:multiLevelType w:val="multilevel"/>
    <w:tmpl w:val="C2BE89B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8AE"/>
    <w:rsid w:val="00075DA5"/>
    <w:rsid w:val="007276D3"/>
    <w:rsid w:val="00C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69F44-C3EE-47B6-9A9C-2188A183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qFormat/>
    <w:pPr>
      <w:keepNext/>
      <w:keepLines/>
      <w:spacing w:after="60"/>
    </w:pPr>
    <w:rPr>
      <w:sz w:val="52"/>
      <w:szCs w:val="52"/>
    </w:rPr>
  </w:style>
  <w:style w:type="paragraph" w:styleId="a5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a">
    <w:name w:val="Hyperlink"/>
    <w:basedOn w:val="a0"/>
    <w:uiPriority w:val="99"/>
    <w:semiHidden/>
    <w:unhideWhenUsed/>
    <w:rsid w:val="007276D3"/>
    <w:rPr>
      <w:color w:val="0000FF" w:themeColor="hyperlink"/>
      <w:u w:val="single"/>
    </w:rPr>
  </w:style>
  <w:style w:type="character" w:customStyle="1" w:styleId="a4">
    <w:name w:val="Название Знак"/>
    <w:basedOn w:val="a0"/>
    <w:link w:val="a3"/>
    <w:rsid w:val="007276D3"/>
    <w:rPr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opka.com/?utm_source=other&amp;utm_medium=organic&amp;utm_campaign=shabloni&amp;utm_content=licence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1996</Words>
  <Characters>11381</Characters>
  <Application>Microsoft Office Word</Application>
  <DocSecurity>0</DocSecurity>
  <Lines>94</Lines>
  <Paragraphs>26</Paragraphs>
  <ScaleCrop>false</ScaleCrop>
  <Company/>
  <LinksUpToDate>false</LinksUpToDate>
  <CharactersWithSpaces>13351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UserKnopka</cp:lastModifiedBy>
  <cp:revision>2</cp:revision>
  <dcterms:created xsi:type="dcterms:W3CDTF">2022-09-15T12:10:00Z</dcterms:created>
  <dcterms:modified xsi:type="dcterms:W3CDTF">2022-09-15T12:10:00Z</dcterms:modified>
</cp:coreProperties>
</file>